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9281" w14:textId="77777777" w:rsidR="006113BA" w:rsidRDefault="006113BA">
      <w:bookmarkStart w:id="0" w:name="_1fzuhsb7nyq6" w:colFirst="0" w:colLast="0"/>
      <w:bookmarkEnd w:id="0"/>
    </w:p>
    <w:p w14:paraId="672716FC" w14:textId="77777777" w:rsidR="006113BA" w:rsidRDefault="00000000">
      <w:pPr>
        <w:spacing w:after="0" w:line="276" w:lineRule="auto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PRESENTATO A TRENTO REBUILD 2025: DAL CUORE DEL TRENTINO L’AGENDA PER IL FUTURO DELL’EDILIZIA SOSTENIBILE</w:t>
      </w:r>
    </w:p>
    <w:p w14:paraId="61A99D42" w14:textId="77777777" w:rsidR="006113BA" w:rsidRDefault="006113BA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302D367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Il 6 e 7 maggio torna al Centro Congressi di Riva del Garda l’evento dedicato all’innovazione sostenibile dell’ambiente costruito. Organizzato da Riva del Garda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“Connect minds,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enable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innovation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” riunirà esperti, aziende e innovatori di livello internazionale per dibattiti e incontri di alto profilo sul futuro del settore immobiliare. Promozione di collaborazioni con realtà innovative finalizzate alla co-creazione di soluzioni sostenibili e adozione di tecnologie avanzate per la riduzione delle emissioni sono le azioni principali su cui si concentreranno gli operatori. A conclusione dell’evento verrà presentato il “Manifesto per il futuro delle costruzioni”.</w:t>
      </w:r>
    </w:p>
    <w:p w14:paraId="5E74FBDF" w14:textId="77777777" w:rsidR="006113BA" w:rsidRDefault="006113BA">
      <w:pPr>
        <w:spacing w:line="276" w:lineRule="auto"/>
        <w:jc w:val="both"/>
        <w:rPr>
          <w:rFonts w:ascii="Arial" w:eastAsia="Arial" w:hAnsi="Arial" w:cs="Arial"/>
          <w:b/>
          <w:sz w:val="12"/>
          <w:szCs w:val="12"/>
        </w:rPr>
      </w:pPr>
    </w:p>
    <w:p w14:paraId="48EF719A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Riva del Garda si prepara ad accogliere l’undicesima edizione di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il primo evento italiano dedicato all'innovazione sostenibile dell'ambiente costruito, organizzato da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in programma il </w:t>
      </w:r>
      <w:r>
        <w:rPr>
          <w:rFonts w:ascii="Arial" w:eastAsia="Arial" w:hAnsi="Arial" w:cs="Arial"/>
          <w:b/>
          <w:sz w:val="24"/>
          <w:szCs w:val="24"/>
        </w:rPr>
        <w:t>6 e 7 maggio</w:t>
      </w:r>
      <w:r>
        <w:rPr>
          <w:rFonts w:ascii="Arial" w:eastAsia="Arial" w:hAnsi="Arial" w:cs="Arial"/>
          <w:sz w:val="24"/>
          <w:szCs w:val="24"/>
        </w:rPr>
        <w:t xml:space="preserve"> presso il </w:t>
      </w:r>
      <w:r>
        <w:rPr>
          <w:rFonts w:ascii="Arial" w:eastAsia="Arial" w:hAnsi="Arial" w:cs="Arial"/>
          <w:b/>
          <w:sz w:val="24"/>
          <w:szCs w:val="24"/>
        </w:rPr>
        <w:t>Centro Congressi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 xml:space="preserve">“Connect minds,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enable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innovation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è il tema dell’edizione 2025, presentata questa mattina a </w:t>
      </w:r>
      <w:r>
        <w:rPr>
          <w:rFonts w:ascii="Arial" w:eastAsia="Arial" w:hAnsi="Arial" w:cs="Arial"/>
          <w:b/>
          <w:sz w:val="24"/>
          <w:szCs w:val="24"/>
        </w:rPr>
        <w:t>ITAS Forum</w:t>
      </w:r>
      <w:r>
        <w:rPr>
          <w:rFonts w:ascii="Arial" w:eastAsia="Arial" w:hAnsi="Arial" w:cs="Arial"/>
          <w:sz w:val="24"/>
          <w:szCs w:val="24"/>
        </w:rPr>
        <w:t xml:space="preserve">, che offrirà agli stakeholder del mondo dell’edilizia una nuova importante opportunità di confronto </w:t>
      </w:r>
      <w:r>
        <w:rPr>
          <w:rFonts w:ascii="Arial" w:eastAsia="Arial" w:hAnsi="Arial" w:cs="Arial"/>
          <w:sz w:val="24"/>
          <w:szCs w:val="24"/>
          <w:highlight w:val="white"/>
        </w:rPr>
        <w:t>e discussione.</w:t>
      </w:r>
    </w:p>
    <w:p w14:paraId="24E607C0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16 conferenze, 4 workshop </w:t>
      </w:r>
      <w:r>
        <w:rPr>
          <w:rFonts w:ascii="Arial" w:eastAsia="Arial" w:hAnsi="Arial" w:cs="Arial"/>
          <w:b/>
          <w:sz w:val="24"/>
          <w:szCs w:val="24"/>
        </w:rPr>
        <w:t>e oltre 60 speaker di rilievo internazionale</w:t>
      </w:r>
      <w:r>
        <w:rPr>
          <w:rFonts w:ascii="Arial" w:eastAsia="Arial" w:hAnsi="Arial" w:cs="Arial"/>
          <w:sz w:val="24"/>
          <w:szCs w:val="24"/>
        </w:rPr>
        <w:t xml:space="preserve">: un ricco programma studiato per plasmare la roadmap del futuro del comparto delle costruzioni, dalla progettazione al </w:t>
      </w:r>
      <w:proofErr w:type="spellStart"/>
      <w:r>
        <w:rPr>
          <w:rFonts w:ascii="Arial" w:eastAsia="Arial" w:hAnsi="Arial" w:cs="Arial"/>
          <w:sz w:val="24"/>
          <w:szCs w:val="24"/>
        </w:rPr>
        <w:t>dismantling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passando sotto la lente tutti i processi intermedi e collegati, gli strumenti di nuova generazione, i materiali più d’avanguardia e le conoscenze più innovative. Il focus di tutto l’impianto di 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ruoterà quest’anno attorno al tema delle connessioni tra persone, competenze e tecnologie, a 360 gradi. Una visione che mira ad affiancare all’edilizia tradizionale industrializzazione, prefabbricazione, nuova cantieristica, digitalizzazione (AI, Big Data, machine learning, ecc.), figure professionali tecnologicamente avanzate e tool evoluti, per poter restituire case history, prodotti e soluzioni ad alto tasso innovativo.</w:t>
      </w:r>
    </w:p>
    <w:p w14:paraId="27C40C52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Quella che 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intende dare è una visione di rinnovamento all’interno di una imprescindibile cornice di valori composta da sostenibilità economica, ambientale e sociale. “È fondamentale considerare l'impatto delle tecnologie intelligenti non solo dal punto di vista economico, ma anche sociale, etico e culturale. Il loro sviluppo e utilizzo devono essere condivisi, accessibili e finalizzati a migliorare la qualità della vita di tutti, contribuendo al contempo alla trasformazione del settore - ha dichiarato </w:t>
      </w:r>
      <w:r>
        <w:rPr>
          <w:rFonts w:ascii="Arial" w:eastAsia="Arial" w:hAnsi="Arial" w:cs="Arial"/>
          <w:b/>
          <w:sz w:val="24"/>
          <w:szCs w:val="24"/>
        </w:rPr>
        <w:t>Alessandra Albarelli</w:t>
      </w:r>
      <w:r>
        <w:rPr>
          <w:rFonts w:ascii="Arial" w:eastAsia="Arial" w:hAnsi="Arial" w:cs="Arial"/>
          <w:sz w:val="24"/>
          <w:szCs w:val="24"/>
        </w:rPr>
        <w:t xml:space="preserve">, Direttrice Generale di Riva del Garda </w:t>
      </w:r>
      <w:proofErr w:type="spellStart"/>
      <w:r>
        <w:rPr>
          <w:rFonts w:ascii="Arial" w:eastAsia="Arial" w:hAnsi="Arial" w:cs="Arial"/>
          <w:sz w:val="24"/>
          <w:szCs w:val="24"/>
        </w:rPr>
        <w:t>Fierecongressi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affinché l’innovazione diventi davvero un motore di progresso per l’intera comunità”.</w:t>
      </w:r>
    </w:p>
    <w:p w14:paraId="271968C7" w14:textId="77777777" w:rsidR="006113BA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shd w:val="clear" w:color="auto" w:fill="FFF2CC"/>
        </w:rPr>
      </w:pPr>
      <w:r>
        <w:rPr>
          <w:rFonts w:ascii="Arial" w:eastAsia="Arial" w:hAnsi="Arial" w:cs="Arial"/>
          <w:sz w:val="24"/>
          <w:szCs w:val="24"/>
        </w:rPr>
        <w:lastRenderedPageBreak/>
        <w:t>Se già nelle edizioni passate l’evento aveva anticipato il tema dell’“innervazione” del digitale quale elemento di rivoluzione epocale per l’efficienza della filiera, accanto a processi di rinnovamento ‘hard’ del sistema industriale in ottica di sostenibilità e accessibilità, l’edizione 2025 accenderà il dibattito anche sulle potenzialità di sviluppo del settore innescate dalla condivisione di forme diverse e complementari di intelligenza.</w:t>
      </w:r>
    </w:p>
    <w:p w14:paraId="14D55C9C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  <w:shd w:val="clear" w:color="auto" w:fill="FFF2CC"/>
        </w:rPr>
      </w:pPr>
      <w:r>
        <w:rPr>
          <w:rFonts w:ascii="Arial" w:eastAsia="Arial" w:hAnsi="Arial" w:cs="Arial"/>
          <w:sz w:val="24"/>
          <w:szCs w:val="24"/>
        </w:rPr>
        <w:t>L’</w:t>
      </w:r>
      <w:r>
        <w:rPr>
          <w:rFonts w:ascii="Arial" w:eastAsia="Arial" w:hAnsi="Arial" w:cs="Arial"/>
          <w:b/>
          <w:sz w:val="24"/>
          <w:szCs w:val="24"/>
        </w:rPr>
        <w:t>assessore alle politiche per la casa, patrimonio, demanio e promozione della conoscenza dell’Autonomia della Provincia autonoma di Trento,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Simone Marchiori, </w:t>
      </w:r>
      <w:r>
        <w:rPr>
          <w:rFonts w:ascii="Arial" w:eastAsia="Arial" w:hAnsi="Arial" w:cs="Arial"/>
          <w:sz w:val="24"/>
          <w:szCs w:val="24"/>
          <w:highlight w:val="white"/>
        </w:rPr>
        <w:t>ha sottolineato l'importanza delle iniziative volte a promuovere un modello di sviluppo rispettoso dell'ambiente, in un momento storico come quello che stiamo attra</w:t>
      </w:r>
      <w:r>
        <w:rPr>
          <w:rFonts w:ascii="Arial" w:eastAsia="Arial" w:hAnsi="Arial" w:cs="Arial"/>
          <w:sz w:val="24"/>
          <w:szCs w:val="24"/>
        </w:rPr>
        <w:t>versando. "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un'opportunità per mostrare come anche la nostra terra sia un laboratorio di sperimentazione e innovazione. Lavoriamo affinché venga mantenuto vivo e connesso tutto il territorio, recuperando e rendendo più efficienti le risorse esistenti, con attenzione ai servizi e al valore sociale degli immobili, e alla valorizzazione anche delle vallate. Un'occasione per essere esempio e traino per l'intero Paese".</w:t>
      </w:r>
    </w:p>
    <w:p w14:paraId="584E76A1" w14:textId="77777777" w:rsidR="006113BA" w:rsidRDefault="006113BA">
      <w:pPr>
        <w:spacing w:line="276" w:lineRule="auto"/>
        <w:jc w:val="both"/>
        <w:rPr>
          <w:rFonts w:ascii="Arial" w:eastAsia="Arial" w:hAnsi="Arial" w:cs="Arial"/>
          <w:sz w:val="6"/>
          <w:szCs w:val="6"/>
          <w:shd w:val="clear" w:color="auto" w:fill="FFF2CC"/>
        </w:rPr>
      </w:pPr>
    </w:p>
    <w:p w14:paraId="5529F3E6" w14:textId="77777777" w:rsidR="006113BA" w:rsidRDefault="0000000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Il programma</w:t>
      </w:r>
    </w:p>
    <w:p w14:paraId="457EB098" w14:textId="77777777" w:rsidR="006113BA" w:rsidRDefault="006113BA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849A298" w14:textId="77777777" w:rsidR="006113BA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All'edizione 2025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il Trentino si porrà come protagonista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con la partecipazione di aziende del settore, associazioni di categoria e istituti di ricerca nell'offrire contenuti di rilievo per il dibattito nazionale sulle sfide della transizione. </w:t>
      </w:r>
      <w:r>
        <w:rPr>
          <w:rFonts w:ascii="Arial" w:eastAsia="Arial" w:hAnsi="Arial" w:cs="Arial"/>
          <w:sz w:val="24"/>
          <w:szCs w:val="24"/>
        </w:rPr>
        <w:t>ESG, digitalizzazione e industrializzazione nel progetto, sostenibilità sociale, economica e ambientale, economia circolare, riqualificazione del costruito, nuove fonti energetiche e nuove frontiere per la decarbonizzazione, impiantistica intelligente, ecosistemi imprenditoriali che guardano allo spazio, transizione inclusiva, nuovi scenari competitivi nell’immobiliare, modelli finanziari green-</w:t>
      </w:r>
      <w:proofErr w:type="spellStart"/>
      <w:r>
        <w:rPr>
          <w:rFonts w:ascii="Arial" w:eastAsia="Arial" w:hAnsi="Arial" w:cs="Arial"/>
          <w:sz w:val="24"/>
          <w:szCs w:val="24"/>
        </w:rPr>
        <w:t>oriented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ConTech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off-site, deep retrofit e design for </w:t>
      </w:r>
      <w:proofErr w:type="spellStart"/>
      <w:r>
        <w:rPr>
          <w:rFonts w:ascii="Arial" w:eastAsia="Arial" w:hAnsi="Arial" w:cs="Arial"/>
          <w:sz w:val="24"/>
          <w:szCs w:val="24"/>
        </w:rPr>
        <w:t>disassembly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urban mining sono i macro-temi al centro delle </w:t>
      </w:r>
      <w:r>
        <w:rPr>
          <w:rFonts w:ascii="Arial" w:eastAsia="Arial" w:hAnsi="Arial" w:cs="Arial"/>
          <w:b/>
          <w:sz w:val="24"/>
          <w:szCs w:val="24"/>
        </w:rPr>
        <w:t xml:space="preserve">16 </w:t>
      </w:r>
      <w:r>
        <w:rPr>
          <w:rFonts w:ascii="Arial" w:eastAsia="Arial" w:hAnsi="Arial" w:cs="Arial"/>
          <w:sz w:val="24"/>
          <w:szCs w:val="24"/>
        </w:rPr>
        <w:t xml:space="preserve">conferenze e dei 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workshop in programma, che vedranno la presenza di una sessantina di ospiti e relatori di livello internazionale pronti a confrontarsi su dati, casi, esperienze, strategie e visioni.</w:t>
      </w:r>
    </w:p>
    <w:p w14:paraId="2BEF5FDC" w14:textId="77777777" w:rsidR="006113BA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conclusione dell’evento verrà presentato il “Manifesto per il futuro delle costruzioni”, alla cui definizione contribuiranno le riflessioni dei partecipanti emerse nelle due giornate. Il documento, un vero e proprio manifesto di intenzioni e visioni avvalorate da esperienze e saperi, sarà messo a disposizione di tutti gli attori del comparto e delle istituzioni.</w:t>
      </w:r>
    </w:p>
    <w:p w14:paraId="193D4F12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Alla conferenza stampa sono intervenuti i rappresentanti di alcune realtà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partner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- Roberto Simoni, Presidente Federazione Trentina della Cooperazione, Sergio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Anzelini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Presidente Itea e Amministratore Unico Patrimonio del Trentino, Alessandro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Bonatta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Direttore Real Estate e Sostenibilità Gruppo ITAS Assicurazioni, Germano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Preghenella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Presidente Polo Edilizia 4.0, Francesco Gasperi, Direttore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Habitech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Distretto Tecnologico Trentino, che hanno sottolineato il valore dell’iniziativa, capace di favorire l’interazione tra realtà diverse, imprese, istituzioni e professionisti, aiutando il settore dell’edilizia ad affrontare le sfide emergenti e percorsi sempre più sostenibili e consapevoli.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Tra i partner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anche Autostrada del Brennero, Gruppo Cassa Centrale Banca, Cassa Rurale Alto Garda - Rovereto,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Consorzio Lavoro Ambiente, Associazione Artigiani Trento, Gruber, Confidi, Gruppo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Sovecar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MAK, ANCE Trento, Fondazione Bruno Kessler e Trentino Sviluppo. </w:t>
      </w:r>
    </w:p>
    <w:p w14:paraId="600F1857" w14:textId="77777777" w:rsidR="006113BA" w:rsidRDefault="006113BA">
      <w:pP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3E25A14A" w14:textId="77777777" w:rsidR="006113BA" w:rsidRDefault="00000000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 studio</w:t>
      </w:r>
    </w:p>
    <w:p w14:paraId="44A96C00" w14:textId="77777777" w:rsidR="006113BA" w:rsidRDefault="006113BA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2A106DB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 studio condotto per l’Osservatorio </w:t>
      </w:r>
      <w:proofErr w:type="spellStart"/>
      <w:r>
        <w:rPr>
          <w:rFonts w:ascii="Arial" w:eastAsia="Arial" w:hAnsi="Arial" w:cs="Arial"/>
          <w:sz w:val="24"/>
          <w:szCs w:val="24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dal Dipartimento di Culture del Progetto dell’Università Iuav di Venezia, sotto la guida di Ezio Micelli, ha analizzato e integrato i risultati di autorevoli ricerche ESG-immobiliare condotte nel 2023-2024, coinvolgendo oltre 5.000 operatori tra investitori, creditizi e stakeholder del settore.</w:t>
      </w:r>
    </w:p>
    <w:p w14:paraId="6690C4A4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“La metanalisi – afferma </w:t>
      </w:r>
      <w:r>
        <w:rPr>
          <w:rFonts w:ascii="Arial" w:eastAsia="Arial" w:hAnsi="Arial" w:cs="Arial"/>
          <w:b/>
          <w:sz w:val="24"/>
          <w:szCs w:val="24"/>
        </w:rPr>
        <w:t>Ezio Micelli</w:t>
      </w:r>
      <w:r>
        <w:rPr>
          <w:rFonts w:ascii="Arial" w:eastAsia="Arial" w:hAnsi="Arial" w:cs="Arial"/>
          <w:sz w:val="24"/>
          <w:szCs w:val="24"/>
        </w:rPr>
        <w:t xml:space="preserve"> – ha portato a una restituzione solida e affidabile circa le scelte degli operatori del settore immobiliare riguardo alle azioni già intraprese o pianificate per la trasformazione sostenibile del patrimonio edilizio, con particolare focus sugli aspetti ambientali. Un’indagine su priorità, richieste, necessità e attese degli attori del comparto che ha offerto indicazioni forti e precise circa la centralità del tema della sostenibilità variamente declinata. Un concetto ormai introiettato che, superato l’approccio ideologico, ora viene affrontato in maniera pratica”.</w:t>
      </w:r>
    </w:p>
    <w:p w14:paraId="5AD4B38C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Quattro evidenze principali dello studio:</w:t>
      </w:r>
    </w:p>
    <w:p w14:paraId="2CF8F83F" w14:textId="77777777" w:rsidR="006113BA" w:rsidRDefault="00000000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L’81% considera prioritario che gli asset rispettino i criteri ESG; per l’85% questi influenzano le decisioni d’investimento. Focus su ambiente (40%), sociale (35%) e riduzione sprechi (25%).</w:t>
      </w:r>
    </w:p>
    <w:p w14:paraId="6658626D" w14:textId="77777777" w:rsidR="006113BA" w:rsidRDefault="00000000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55% punta ai vantaggi economici dell’efficienza energetica, anticipando spesso normative e aspettative pubbliche.</w:t>
      </w:r>
    </w:p>
    <w:p w14:paraId="67C4CBC2" w14:textId="77777777" w:rsidR="006113BA" w:rsidRDefault="00000000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65% vede il rischio climatico come rischio finanziario, e collega il rispetto dei criteri ESG anche a un impegno verso gli stakeholder e il miglioramento sociale.</w:t>
      </w:r>
    </w:p>
    <w:p w14:paraId="03C9BB5B" w14:textId="00CC8CC7" w:rsidR="006113BA" w:rsidRDefault="00000000" w:rsidP="00456A13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Tecnologie per performance energetica e riduzione emissioni sono prioritarie: il 30% si concentra sul monitoraggio, il 25% sulla gestione avanzata degli edifici, e uno su cinque punta alle certificazioni ambientali.</w:t>
      </w:r>
    </w:p>
    <w:p w14:paraId="60E07948" w14:textId="77777777" w:rsidR="00456A13" w:rsidRPr="00456A13" w:rsidRDefault="00456A13" w:rsidP="00456A13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D25386B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peso delle tematiche ESG sta guidando una trasformazione strutturale del settore. L’80% dispone di team dedicati alla sostenibilità, mentre le strategie puntano su eco-tecnologie (25%), partnership innovative (24%), zero emissioni (23%) e investimenti in competenze (15%). Infine, mentre progettazione e </w:t>
      </w:r>
      <w:proofErr w:type="spellStart"/>
      <w:r>
        <w:rPr>
          <w:rFonts w:ascii="Arial" w:eastAsia="Arial" w:hAnsi="Arial" w:cs="Arial"/>
          <w:sz w:val="24"/>
          <w:szCs w:val="24"/>
        </w:rPr>
        <w:t>Proptech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sono già parte attiva del cambiamento, il settore delle costruzioni mostra forti margini di innovazione. In particolare, il </w:t>
      </w:r>
      <w:proofErr w:type="spellStart"/>
      <w:r>
        <w:rPr>
          <w:rFonts w:ascii="Arial" w:eastAsia="Arial" w:hAnsi="Arial" w:cs="Arial"/>
          <w:sz w:val="24"/>
          <w:szCs w:val="24"/>
        </w:rPr>
        <w:t>ConTech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è destinato a trasformare radicalmente il cantiere e i processi di produzione nei prossimi anni.</w:t>
      </w:r>
    </w:p>
    <w:p w14:paraId="47F26113" w14:textId="77777777" w:rsidR="006113BA" w:rsidRDefault="006113BA">
      <w:pPr>
        <w:spacing w:line="276" w:lineRule="auto"/>
        <w:jc w:val="both"/>
        <w:rPr>
          <w:rFonts w:ascii="Arial" w:eastAsia="Arial" w:hAnsi="Arial" w:cs="Arial"/>
          <w:sz w:val="6"/>
          <w:szCs w:val="6"/>
        </w:rPr>
      </w:pPr>
    </w:p>
    <w:p w14:paraId="2ACC94F3" w14:textId="77777777" w:rsidR="000D3BB7" w:rsidRDefault="000D3BB7">
      <w:pPr>
        <w:spacing w:line="276" w:lineRule="auto"/>
        <w:jc w:val="both"/>
        <w:rPr>
          <w:rFonts w:ascii="Arial" w:eastAsia="Arial" w:hAnsi="Arial" w:cs="Arial"/>
          <w:sz w:val="6"/>
          <w:szCs w:val="6"/>
        </w:rPr>
      </w:pPr>
    </w:p>
    <w:p w14:paraId="587B0088" w14:textId="77777777" w:rsidR="000D3BB7" w:rsidRDefault="000D3BB7">
      <w:pPr>
        <w:spacing w:line="276" w:lineRule="auto"/>
        <w:jc w:val="both"/>
        <w:rPr>
          <w:rFonts w:ascii="Arial" w:eastAsia="Arial" w:hAnsi="Arial" w:cs="Arial"/>
          <w:sz w:val="6"/>
          <w:szCs w:val="6"/>
        </w:rPr>
      </w:pPr>
    </w:p>
    <w:p w14:paraId="2D890588" w14:textId="77777777" w:rsidR="000D3BB7" w:rsidRDefault="000D3BB7">
      <w:pPr>
        <w:spacing w:line="276" w:lineRule="auto"/>
        <w:jc w:val="both"/>
        <w:rPr>
          <w:rFonts w:ascii="Arial" w:eastAsia="Arial" w:hAnsi="Arial" w:cs="Arial"/>
          <w:sz w:val="6"/>
          <w:szCs w:val="6"/>
        </w:rPr>
      </w:pPr>
    </w:p>
    <w:p w14:paraId="092DD5B2" w14:textId="77777777" w:rsidR="000D3BB7" w:rsidRDefault="000D3BB7">
      <w:pPr>
        <w:spacing w:line="276" w:lineRule="auto"/>
        <w:jc w:val="both"/>
        <w:rPr>
          <w:rFonts w:ascii="Arial" w:eastAsia="Arial" w:hAnsi="Arial" w:cs="Arial"/>
          <w:sz w:val="6"/>
          <w:szCs w:val="6"/>
        </w:rPr>
      </w:pPr>
    </w:p>
    <w:p w14:paraId="460E5D10" w14:textId="77777777" w:rsidR="000D3BB7" w:rsidRDefault="000D3BB7">
      <w:pPr>
        <w:spacing w:line="276" w:lineRule="auto"/>
        <w:jc w:val="both"/>
        <w:rPr>
          <w:rFonts w:ascii="Arial" w:eastAsia="Arial" w:hAnsi="Arial" w:cs="Arial"/>
          <w:sz w:val="6"/>
          <w:szCs w:val="6"/>
        </w:rPr>
      </w:pPr>
    </w:p>
    <w:p w14:paraId="3882E7A6" w14:textId="77777777" w:rsidR="006113BA" w:rsidRDefault="00000000">
      <w:pPr>
        <w:shd w:val="clear" w:color="auto" w:fill="FFFFFF"/>
        <w:spacing w:line="276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Info e iscrizioni</w:t>
      </w:r>
    </w:p>
    <w:p w14:paraId="10FDABAA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Appuntamento quindi con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REbuild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il 6 e 7 maggio presso il Centro Congressi di Riva del Garda. Per agevolare gli spostamenti dei partecipanti, sarà disponibile un servizio di navetta gratuito dalla Stazione di Rovereto a Riva del Garda alle ore 9.45 e da Riva del Garda alla Stazione di Rovereto alle ore 16.45 nelle giornate di martedì 6 e mercoledì 7 maggio. </w:t>
      </w:r>
    </w:p>
    <w:p w14:paraId="6EAF62DC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E’ possibile registrarsi all’evento al link </w:t>
      </w:r>
      <w:hyperlink r:id="rId7">
        <w:r>
          <w:rPr>
            <w:rFonts w:ascii="Arial" w:eastAsia="Arial" w:hAnsi="Arial" w:cs="Arial"/>
            <w:sz w:val="24"/>
            <w:szCs w:val="24"/>
            <w:highlight w:val="white"/>
          </w:rPr>
          <w:t>https://rebuilditalia.it/it/ottieni-il-biglietto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. Le iscrizioni prevedono tariffe agevolate per determinate categorie di partecipanti: pubblica amministrazione, università e ricerca possono accedere gratuitamente all'evento, mentre i professionisti iscritti agli albi professionali del settore beneficiano di tariffe ridotte. Inoltre, è prevista la possibilità di ottenere crediti formativi per ingegneri, architetti, geometri e periti industriali. </w:t>
      </w:r>
    </w:p>
    <w:p w14:paraId="59708469" w14:textId="77777777" w:rsidR="006113BA" w:rsidRDefault="00000000">
      <w:pPr>
        <w:spacing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Ulteriori informazioni sull'evento e il programma completo sono consultabili sul sito </w:t>
      </w:r>
      <w:hyperlink r:id="rId8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www.rebuilditalia.it</w:t>
        </w:r>
      </w:hyperlink>
    </w:p>
    <w:p w14:paraId="4C949EF7" w14:textId="77777777" w:rsidR="006113BA" w:rsidRDefault="006113BA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CA33601" w14:textId="77777777" w:rsidR="006113BA" w:rsidRDefault="00000000">
      <w:pPr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Riva del Garda, 9 aprile 2025</w:t>
      </w:r>
    </w:p>
    <w:p w14:paraId="1C5BC11F" w14:textId="77777777" w:rsidR="006113BA" w:rsidRDefault="006113BA">
      <w:pPr>
        <w:jc w:val="both"/>
        <w:rPr>
          <w:sz w:val="24"/>
          <w:szCs w:val="24"/>
        </w:rPr>
      </w:pPr>
    </w:p>
    <w:sectPr w:rsidR="006113BA">
      <w:headerReference w:type="default" r:id="rId9"/>
      <w:footerReference w:type="default" r:id="rId10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3AD80" w14:textId="77777777" w:rsidR="001C3B4E" w:rsidRDefault="001C3B4E">
      <w:pPr>
        <w:spacing w:after="0" w:line="240" w:lineRule="auto"/>
      </w:pPr>
      <w:r>
        <w:separator/>
      </w:r>
    </w:p>
  </w:endnote>
  <w:endnote w:type="continuationSeparator" w:id="0">
    <w:p w14:paraId="6E810C60" w14:textId="77777777" w:rsidR="001C3B4E" w:rsidRDefault="001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800E" w14:textId="77777777" w:rsidR="006113BA" w:rsidRDefault="006113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6E555AB8" w14:textId="77777777" w:rsidR="006113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32CF3C7C" wp14:editId="53502322">
          <wp:extent cx="7138035" cy="60007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11740" b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4DAA" w14:textId="77777777" w:rsidR="001C3B4E" w:rsidRDefault="001C3B4E">
      <w:pPr>
        <w:spacing w:after="0" w:line="240" w:lineRule="auto"/>
      </w:pPr>
      <w:r>
        <w:separator/>
      </w:r>
    </w:p>
  </w:footnote>
  <w:footnote w:type="continuationSeparator" w:id="0">
    <w:p w14:paraId="519768B4" w14:textId="77777777" w:rsidR="001C3B4E" w:rsidRDefault="001C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38327" w14:textId="77777777" w:rsidR="006113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BB2509B" wp14:editId="32CB2AE4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89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394BEA" wp14:editId="2C2216BE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60B122" w14:textId="77777777" w:rsidR="006113BA" w:rsidRDefault="006113B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394BEA" id="Rettangolo 1" o:spid="_x0000_s1026" style="position:absolute;left:0;text-align:left;margin-left:-57pt;margin-top:-35pt;width:595.8pt;height:2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" fillcolor="#00b0f0" stroked="f">
              <v:textbox inset="2.53958mm,2.53958mm,2.53958mm,2.53958mm">
                <w:txbxContent>
                  <w:p w14:paraId="4460B122" w14:textId="77777777" w:rsidR="006113BA" w:rsidRDefault="006113B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E2ABD"/>
    <w:multiLevelType w:val="multilevel"/>
    <w:tmpl w:val="9222A8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A62CB9"/>
    <w:multiLevelType w:val="multilevel"/>
    <w:tmpl w:val="E60CDB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62235242">
    <w:abstractNumId w:val="0"/>
  </w:num>
  <w:num w:numId="2" w16cid:durableId="168179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BA"/>
    <w:rsid w:val="0007486C"/>
    <w:rsid w:val="000D3BB7"/>
    <w:rsid w:val="001C3B4E"/>
    <w:rsid w:val="00456A13"/>
    <w:rsid w:val="0061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53D0"/>
  <w15:docId w15:val="{81B40FAF-EDB9-4266-9083-F6F1E9E9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uildital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builditalia.it/it/ottieni-il-bigliet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3</cp:revision>
  <dcterms:created xsi:type="dcterms:W3CDTF">2025-04-09T10:51:00Z</dcterms:created>
  <dcterms:modified xsi:type="dcterms:W3CDTF">2025-04-09T10:53:00Z</dcterms:modified>
</cp:coreProperties>
</file>